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9E" w:rsidRDefault="0090579E" w:rsidP="00F223DD">
      <w:pPr>
        <w:rPr>
          <w:rFonts w:ascii="Times New Roman" w:hAnsi="Times New Roman" w:cs="Times New Roman"/>
          <w:b/>
          <w:sz w:val="28"/>
          <w:szCs w:val="28"/>
        </w:rPr>
      </w:pPr>
    </w:p>
    <w:p w:rsidR="0090579E" w:rsidRPr="0090579E" w:rsidRDefault="0090579E" w:rsidP="009057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9E" w:rsidRPr="0090579E" w:rsidRDefault="0090579E" w:rsidP="009057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579E" w:rsidRPr="0090579E" w:rsidRDefault="0090579E" w:rsidP="009057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57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90579E" w:rsidRPr="0090579E" w:rsidRDefault="0090579E" w:rsidP="009057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57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90579E" w:rsidRPr="0090579E" w:rsidRDefault="0090579E" w:rsidP="009057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57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90579E" w:rsidRPr="0090579E" w:rsidRDefault="0090579E" w:rsidP="0090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79E" w:rsidRPr="0090579E" w:rsidRDefault="0090579E" w:rsidP="0090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057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9057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90579E" w:rsidRPr="0090579E" w:rsidRDefault="0090579E" w:rsidP="0090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79E" w:rsidRPr="0090579E" w:rsidRDefault="00355DBB" w:rsidP="0090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18.03.2019 № 69-па</w:t>
      </w:r>
    </w:p>
    <w:p w:rsidR="0090579E" w:rsidRPr="0090579E" w:rsidRDefault="0090579E" w:rsidP="0090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90579E" w:rsidRDefault="0090579E" w:rsidP="00F223DD">
      <w:pPr>
        <w:rPr>
          <w:rFonts w:ascii="Times New Roman" w:hAnsi="Times New Roman" w:cs="Times New Roman"/>
          <w:b/>
          <w:sz w:val="28"/>
          <w:szCs w:val="28"/>
        </w:rPr>
      </w:pPr>
    </w:p>
    <w:p w:rsidR="00F223DD" w:rsidRPr="0090579E" w:rsidRDefault="00F223DD" w:rsidP="00905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9E">
        <w:rPr>
          <w:rFonts w:ascii="Times New Roman" w:hAnsi="Times New Roman" w:cs="Times New Roman"/>
          <w:b/>
          <w:sz w:val="28"/>
          <w:szCs w:val="28"/>
        </w:rPr>
        <w:t>Об утверждении Порядка предварительного согласования муниципальным бюджетным учреждением крупных сделок</w:t>
      </w:r>
    </w:p>
    <w:p w:rsidR="0021557F" w:rsidRDefault="0021557F" w:rsidP="00BF2E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3DD" w:rsidRPr="0090579E" w:rsidRDefault="00F223DD" w:rsidP="00BF2E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90579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пунктом 13 статьи 9.2,</w:t>
        </w:r>
      </w:hyperlink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90579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пунктом 4 статьи 24,</w:t>
        </w:r>
      </w:hyperlink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90579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статьей 27</w:t>
        </w:r>
      </w:hyperlink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12 января 1996 г</w:t>
      </w:r>
      <w:r w:rsidR="00CB7A81"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7-ФЗ «О некоммерческих организациях», </w:t>
      </w:r>
      <w:hyperlink r:id="rId11" w:history="1">
        <w:r w:rsidRPr="0090579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Тенькинского г</w:t>
      </w:r>
      <w:r w:rsidR="00CB7A81"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ородского округа от </w:t>
      </w:r>
      <w:r w:rsidR="0021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14.03</w:t>
      </w:r>
      <w:r w:rsidR="00CB7A81"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1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</w:t>
      </w: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-па «Об осуществлении администрацией Тенькинского городского округа Магаданской области функций и полномочий учредителя муниципального бюджетного учреждения и муниципального казенного учреждения», руководствуясь Уставом муниципального образования «Тенькинский городской округ» Магаданской области</w:t>
      </w:r>
      <w:proofErr w:type="gramEnd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Тенькинского городского округа Магаданской области</w:t>
      </w:r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т:</w:t>
      </w:r>
    </w:p>
    <w:p w:rsidR="00F223DD" w:rsidRPr="0090579E" w:rsidRDefault="00F223DD" w:rsidP="00BF2E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r:id="rId12" w:anchor="sub_1000" w:history="1">
        <w:r w:rsidRPr="0090579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предварительного согласования совершения муниципальным бюджетным учреждением крупных сделок.</w:t>
      </w:r>
      <w:bookmarkEnd w:id="0"/>
    </w:p>
    <w:p w:rsidR="00F223DD" w:rsidRPr="0090579E" w:rsidRDefault="00F223DD" w:rsidP="009104E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 силу постановление администрации Тенькинского района Магаданской области от 6 марта 2012 года № 66-па «Об утверждении Порядка предварительного согласования муниципальным бюджетным учреждением крупных сделок»</w:t>
      </w:r>
      <w:r w:rsidR="00A309A2"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23DD" w:rsidRPr="0090579E" w:rsidRDefault="00F223DD" w:rsidP="009104E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9104ED"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proofErr w:type="gramStart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 руководителей органов, осуществляющие функции и полномочия учредителя бюджетных учреждений. </w:t>
      </w:r>
    </w:p>
    <w:p w:rsidR="00F223DD" w:rsidRDefault="00F223DD" w:rsidP="009104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(обнародованию).</w:t>
      </w:r>
    </w:p>
    <w:p w:rsidR="00BA002B" w:rsidRDefault="00BA002B" w:rsidP="009104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D88" w:rsidRDefault="00A60D88" w:rsidP="009104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02B" w:rsidRPr="00BA002B" w:rsidRDefault="00BA002B" w:rsidP="00BA002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02B">
        <w:rPr>
          <w:rFonts w:ascii="Times New Roman" w:hAnsi="Times New Roman" w:cs="Times New Roman"/>
          <w:color w:val="000000" w:themeColor="text1"/>
          <w:sz w:val="28"/>
          <w:szCs w:val="28"/>
        </w:rPr>
        <w:t>Глава Тенькинского городского округа</w:t>
      </w:r>
      <w:r w:rsidRPr="00BA00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И.С. </w:t>
      </w:r>
      <w:proofErr w:type="gramStart"/>
      <w:r w:rsidRPr="00BA002B">
        <w:rPr>
          <w:rFonts w:ascii="Times New Roman" w:hAnsi="Times New Roman" w:cs="Times New Roman"/>
          <w:color w:val="000000" w:themeColor="text1"/>
          <w:sz w:val="28"/>
          <w:szCs w:val="28"/>
        </w:rPr>
        <w:t>Бережной</w:t>
      </w:r>
      <w:proofErr w:type="gramEnd"/>
    </w:p>
    <w:p w:rsidR="00A60D88" w:rsidRDefault="00A60D88" w:rsidP="009104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60D88" w:rsidSect="00A60D88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A002B" w:rsidRPr="0090579E" w:rsidRDefault="00BA002B" w:rsidP="009104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3DD" w:rsidRPr="0090579E" w:rsidRDefault="00F223DD" w:rsidP="00F223DD">
      <w:pPr>
        <w:rPr>
          <w:rFonts w:ascii="Times New Roman" w:hAnsi="Times New Roman" w:cs="Times New Roman"/>
          <w:sz w:val="28"/>
          <w:szCs w:val="28"/>
        </w:rPr>
      </w:pPr>
    </w:p>
    <w:p w:rsidR="00F223DD" w:rsidRPr="0090579E" w:rsidRDefault="00F223DD" w:rsidP="00F223DD">
      <w:pPr>
        <w:rPr>
          <w:rFonts w:ascii="Times New Roman" w:hAnsi="Times New Roman" w:cs="Times New Roman"/>
          <w:sz w:val="28"/>
          <w:szCs w:val="28"/>
        </w:rPr>
      </w:pPr>
    </w:p>
    <w:p w:rsidR="00F223DD" w:rsidRDefault="00F223DD" w:rsidP="00F223DD">
      <w:pPr>
        <w:rPr>
          <w:rFonts w:ascii="Times New Roman" w:hAnsi="Times New Roman" w:cs="Times New Roman"/>
          <w:sz w:val="28"/>
          <w:szCs w:val="28"/>
        </w:rPr>
      </w:pPr>
    </w:p>
    <w:p w:rsidR="00EE694B" w:rsidRDefault="00EE694B" w:rsidP="00F223DD">
      <w:pPr>
        <w:rPr>
          <w:rFonts w:ascii="Times New Roman" w:hAnsi="Times New Roman" w:cs="Times New Roman"/>
          <w:sz w:val="28"/>
          <w:szCs w:val="28"/>
        </w:rPr>
      </w:pPr>
    </w:p>
    <w:p w:rsidR="00EE694B" w:rsidRPr="00BA002B" w:rsidRDefault="00EE694B" w:rsidP="00AA1AD7">
      <w:pPr>
        <w:framePr w:w="4889" w:h="2210" w:hRule="exact" w:hSpace="180" w:wrap="around" w:vAnchor="page" w:hAnchor="page" w:x="6676" w:y="1411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02B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EE694B" w:rsidRPr="00BA002B" w:rsidRDefault="00EE694B" w:rsidP="00AA1AD7">
      <w:pPr>
        <w:framePr w:w="4889" w:h="2210" w:hRule="exact" w:hSpace="180" w:wrap="around" w:vAnchor="page" w:hAnchor="page" w:x="6676" w:y="1411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02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EE694B" w:rsidRPr="00BA002B" w:rsidRDefault="00EE694B" w:rsidP="00AA1AD7">
      <w:pPr>
        <w:framePr w:w="4889" w:h="2210" w:hRule="exact" w:hSpace="180" w:wrap="around" w:vAnchor="page" w:hAnchor="page" w:x="6676" w:y="1411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02B">
        <w:rPr>
          <w:rFonts w:ascii="Times New Roman" w:hAnsi="Times New Roman" w:cs="Times New Roman"/>
          <w:bCs/>
          <w:sz w:val="28"/>
          <w:szCs w:val="28"/>
        </w:rPr>
        <w:t>Тенькинского городского округа</w:t>
      </w:r>
    </w:p>
    <w:p w:rsidR="00EE694B" w:rsidRPr="00BA002B" w:rsidRDefault="00EE694B" w:rsidP="00AA1AD7">
      <w:pPr>
        <w:framePr w:w="4889" w:h="2210" w:hRule="exact" w:hSpace="180" w:wrap="around" w:vAnchor="page" w:hAnchor="page" w:x="6676" w:y="1411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02B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</w:p>
    <w:p w:rsidR="00EE694B" w:rsidRPr="00AA1AD7" w:rsidRDefault="00EE694B" w:rsidP="00AA1AD7">
      <w:pPr>
        <w:framePr w:w="4889" w:h="2210" w:hRule="exact" w:hSpace="180" w:wrap="around" w:vAnchor="page" w:hAnchor="page" w:x="6676" w:y="1411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02B">
        <w:rPr>
          <w:rFonts w:ascii="Times New Roman" w:hAnsi="Times New Roman" w:cs="Times New Roman"/>
          <w:bCs/>
          <w:sz w:val="28"/>
          <w:szCs w:val="28"/>
        </w:rPr>
        <w:t>от</w:t>
      </w:r>
      <w:r w:rsidRPr="00BA002B">
        <w:rPr>
          <w:rFonts w:ascii="Times New Roman" w:hAnsi="Times New Roman" w:cs="Times New Roman"/>
          <w:bCs/>
          <w:sz w:val="28"/>
          <w:szCs w:val="28"/>
        </w:rPr>
        <w:softHyphen/>
      </w:r>
      <w:r w:rsidRPr="00BA002B">
        <w:rPr>
          <w:rFonts w:ascii="Times New Roman" w:hAnsi="Times New Roman" w:cs="Times New Roman"/>
          <w:bCs/>
          <w:sz w:val="28"/>
          <w:szCs w:val="28"/>
        </w:rPr>
        <w:softHyphen/>
      </w:r>
      <w:r w:rsidR="00355DBB">
        <w:rPr>
          <w:rFonts w:ascii="Times New Roman" w:hAnsi="Times New Roman" w:cs="Times New Roman"/>
          <w:bCs/>
          <w:sz w:val="28"/>
          <w:szCs w:val="28"/>
        </w:rPr>
        <w:t xml:space="preserve"> 18.03.</w:t>
      </w:r>
      <w:r w:rsidRPr="00BA002B">
        <w:rPr>
          <w:rFonts w:ascii="Times New Roman" w:hAnsi="Times New Roman" w:cs="Times New Roman"/>
          <w:bCs/>
          <w:sz w:val="28"/>
          <w:szCs w:val="28"/>
        </w:rPr>
        <w:t>2019 г. №</w:t>
      </w:r>
      <w:r w:rsidR="00BA00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DBB">
        <w:rPr>
          <w:rFonts w:ascii="Times New Roman" w:hAnsi="Times New Roman" w:cs="Times New Roman"/>
          <w:bCs/>
          <w:sz w:val="28"/>
          <w:szCs w:val="28"/>
        </w:rPr>
        <w:t>69-па</w:t>
      </w:r>
      <w:bookmarkStart w:id="1" w:name="_GoBack"/>
      <w:bookmarkEnd w:id="1"/>
    </w:p>
    <w:p w:rsidR="00BA002B" w:rsidRDefault="00F223DD" w:rsidP="00BA002B">
      <w:pPr>
        <w:pStyle w:val="1"/>
        <w:spacing w:before="0"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bookmarkStart w:id="2" w:name="sub_1000"/>
      <w:r w:rsidRPr="0090579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Порядок предварительного согласования совершения </w:t>
      </w:r>
    </w:p>
    <w:p w:rsidR="00F223DD" w:rsidRPr="0090579E" w:rsidRDefault="00F223DD" w:rsidP="00BA002B">
      <w:pPr>
        <w:pStyle w:val="1"/>
        <w:spacing w:before="0"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90579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муниципальным бюджетным учреждением крупных сделок</w:t>
      </w:r>
      <w:r w:rsidRPr="0090579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br/>
      </w:r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1"/>
      <w:bookmarkEnd w:id="2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разработан на основании </w:t>
      </w:r>
      <w:hyperlink r:id="rId14" w:history="1">
        <w:r w:rsidRPr="0090579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пункта 13 статьи 9.2</w:t>
        </w:r>
      </w:hyperlink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12 января 1996 года № 7-ФЗ «О некоммерческих организациях», </w:t>
      </w:r>
      <w:hyperlink r:id="rId15" w:history="1">
        <w:r w:rsidRPr="0090579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осуществлении администрацией Тенькинского городского округа функций и полномочий учредителя муниципального бюджетного учреждения, утвержденного </w:t>
      </w:r>
      <w:hyperlink r:id="rId16" w:history="1">
        <w:r w:rsidRPr="0090579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Тенькинского г</w:t>
      </w:r>
      <w:r w:rsidR="00CB7A81"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ородского округа от </w:t>
      </w:r>
      <w:r w:rsidR="00BA002B">
        <w:rPr>
          <w:rFonts w:ascii="Times New Roman" w:hAnsi="Times New Roman" w:cs="Times New Roman"/>
          <w:color w:val="000000" w:themeColor="text1"/>
          <w:sz w:val="28"/>
          <w:szCs w:val="28"/>
        </w:rPr>
        <w:t>14.03.</w:t>
      </w:r>
      <w:r w:rsidR="00CB7A81"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BA0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</w:t>
      </w: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-па, и устанавливает правила предварительного согласования совершения муниципальным бюджетным учреждением (далее - бюджетное учреждение) крупных сделок.</w:t>
      </w:r>
      <w:proofErr w:type="gramEnd"/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2"/>
      <w:bookmarkEnd w:id="3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9.2 Федерального закона крупной сделкой признается сделка или несколько взаимосвязанных сделок, связанных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 процентов</w:t>
      </w:r>
      <w:proofErr w:type="gramEnd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балансовой стоимости активов бюджетного учреждения, определяемой по данным его бюджетной отчетности на последнюю отчетную дату, если уставом бюджетного учреждения не предусмотрен меньший размер крупной сделки.</w:t>
      </w:r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3"/>
      <w:bookmarkEnd w:id="4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намерения бюджетного учреждения выступить одной из сторон в сделке, признаваемой в соответствии с </w:t>
      </w:r>
      <w:hyperlink r:id="rId17" w:anchor="sub_12" w:history="1">
        <w:r w:rsidRPr="0090579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крупной сделкой, бюджетное учреждение с целью принятия </w:t>
      </w: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о предварительном согласовании совершения крупной сделки бюджетным учреждением представляет в орган, осуществляющий функции и полномочия учредителя</w:t>
      </w:r>
      <w:bookmarkStart w:id="6" w:name="sub_131"/>
      <w:bookmarkEnd w:id="5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документы:</w:t>
      </w:r>
      <w:proofErr w:type="gramEnd"/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а) обращение руководителя бюджетного учреждения о предварительном согласовании заключения крупной сделки с указанием предмета сделки, контрагентов, сроков, цены и иных существенных условий крупной сделки, содержащее финансово-экономическое обоснование целесообразности заключения крупной сделки (содержание сделки, расчеты показателей сделки, информация о прогнозе влияния результатов сделки на повышение эффективности деятельности бюджетного учреждения в разрезе производственных и финансовых показателей, особые условия сделки) (далее - обращение), к</w:t>
      </w:r>
      <w:proofErr w:type="gramEnd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обращению прилагается опись направляемых документов;</w:t>
      </w:r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32"/>
      <w:bookmarkEnd w:id="6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б) копии форм бюджетной отчетности за последний финансовый год и на последнюю отчетную дату, заверенные руководителем и главным бухгалтером бюджетного учреждения;</w:t>
      </w:r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33"/>
      <w:bookmarkEnd w:id="7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в) проект соответствующего договора, содержащий условия крупной сделки;</w:t>
      </w:r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34"/>
      <w:bookmarkEnd w:id="8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подготовленный в соответствии с законодательством Российской Федерации об оценочной деятельности </w:t>
      </w:r>
      <w:proofErr w:type="gramStart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proofErr w:type="gramEnd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 имущества, с которым предполагается совершить крупную сделку, произведенной не ранее чем за 3 месяца до представления отчета;</w:t>
      </w:r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35"/>
      <w:bookmarkEnd w:id="9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д) сведения о кредиторской и дебиторской задолженности с указанием наименований кредиторов, должников, суммы задолженности и дат возникновения задолженности с выделением задолженности по заработной плате, задолженности перед бюджетом и внебюджетными фондами и указанием статуса данной задолженности (текущая или просроченная).</w:t>
      </w:r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4"/>
      <w:bookmarkEnd w:id="10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осуществляющий функции и полномочия учредителя, готовит заключение о целесообразности либо нецелесообразности заключения крупной сделки, и в 15-дневный срок со дня поступления документов направляет заключение бюджетному учреждению и готовит проект </w:t>
      </w: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постановления (распоряжения, приказа) о предварительном согласовании крупной сделки, а при наличии отрицательного заключения - проект уведомления об отказе в согласовании крупной сделки.</w:t>
      </w:r>
      <w:proofErr w:type="gramEnd"/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5"/>
      <w:bookmarkEnd w:id="11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5. В течение 3 рабочих дней после принятия решения о согласовании крупной сделки или об отказе в согласовании крупной сделки, заверенная копия постановления (распоряжения, приказа) либо уведомление направляются руководителю бюджетного учреждения.</w:t>
      </w:r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6"/>
      <w:bookmarkEnd w:id="12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6. Учет и хранение обращения и прилагаемых к нему документов осуществляет орган, осуществляющий функции и полномочия учредителя.</w:t>
      </w:r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7"/>
      <w:bookmarkEnd w:id="13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Основаниями отказа в предварительном согласовании крупной сделки являются предоставление бюджетным учреждением неполного пакета документов, предусмотренных </w:t>
      </w:r>
      <w:hyperlink r:id="rId18" w:anchor="sub_13" w:history="1">
        <w:r w:rsidRPr="0090579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 также наличие заключения органа, осуществляющего функции и полномочия учредителя, о нецелесообразности заключения крупной сделки.</w:t>
      </w:r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8"/>
      <w:bookmarkEnd w:id="14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8. </w:t>
      </w:r>
      <w:r w:rsidRPr="0090579E">
        <w:rPr>
          <w:rFonts w:ascii="Times New Roman" w:hAnsi="Times New Roman" w:cs="Times New Roman"/>
          <w:sz w:val="28"/>
          <w:szCs w:val="28"/>
        </w:rPr>
        <w:t>  </w:t>
      </w: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Заверенная надлежащим образом копия документа, подтверждающего заключение бюджетным учреждением крупной сделки, направляется руководителем учреждения в орган, осуществляющий функции и полномочия учредителя, и в комитет по управлению муниципальным имуществом администрации Тенькинского городского округа Магаданской области (для сведения) в 15-дневный срок </w:t>
      </w:r>
      <w:proofErr w:type="gramStart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с даты заключения</w:t>
      </w:r>
      <w:proofErr w:type="gramEnd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сделки.</w:t>
      </w:r>
    </w:p>
    <w:bookmarkEnd w:id="15"/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9. В случае</w:t>
      </w:r>
      <w:proofErr w:type="gramStart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0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бюджетное учреждение, получившее согласие на совершение крупной сделки, не воспользовалось своим правом на ее заключение в течение 6 месяцев, требуется повторное согласование указанной крупной сделки в порядке, установленном настоящим правовым актом.</w:t>
      </w:r>
    </w:p>
    <w:p w:rsidR="00F223DD" w:rsidRPr="0090579E" w:rsidRDefault="00F223DD" w:rsidP="00F223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3DD" w:rsidRDefault="00F223DD" w:rsidP="00F223D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F223DD" w:rsidRDefault="00F223DD" w:rsidP="00F223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36F" w:rsidRDefault="00BF136F"/>
    <w:sectPr w:rsidR="00BF136F" w:rsidSect="00A60D8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F0" w:rsidRDefault="009B66F0" w:rsidP="00A60D88">
      <w:pPr>
        <w:spacing w:after="0" w:line="240" w:lineRule="auto"/>
      </w:pPr>
      <w:r>
        <w:separator/>
      </w:r>
    </w:p>
  </w:endnote>
  <w:endnote w:type="continuationSeparator" w:id="0">
    <w:p w:rsidR="009B66F0" w:rsidRDefault="009B66F0" w:rsidP="00A6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F0" w:rsidRDefault="009B66F0" w:rsidP="00A60D88">
      <w:pPr>
        <w:spacing w:after="0" w:line="240" w:lineRule="auto"/>
      </w:pPr>
      <w:r>
        <w:separator/>
      </w:r>
    </w:p>
  </w:footnote>
  <w:footnote w:type="continuationSeparator" w:id="0">
    <w:p w:rsidR="009B66F0" w:rsidRDefault="009B66F0" w:rsidP="00A6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885067"/>
      <w:docPartObj>
        <w:docPartGallery w:val="Page Numbers (Top of Page)"/>
        <w:docPartUnique/>
      </w:docPartObj>
    </w:sdtPr>
    <w:sdtEndPr/>
    <w:sdtContent>
      <w:p w:rsidR="00A60D88" w:rsidRDefault="00A60D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DBB">
          <w:rPr>
            <w:noProof/>
          </w:rPr>
          <w:t>3</w:t>
        </w:r>
        <w:r>
          <w:fldChar w:fldCharType="end"/>
        </w:r>
      </w:p>
    </w:sdtContent>
  </w:sdt>
  <w:p w:rsidR="00A60D88" w:rsidRDefault="00A60D8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14"/>
    <w:rsid w:val="0021557F"/>
    <w:rsid w:val="002B36EA"/>
    <w:rsid w:val="00355DBB"/>
    <w:rsid w:val="0090579E"/>
    <w:rsid w:val="009104ED"/>
    <w:rsid w:val="009B66F0"/>
    <w:rsid w:val="00A309A2"/>
    <w:rsid w:val="00A60D88"/>
    <w:rsid w:val="00AA1AD7"/>
    <w:rsid w:val="00AF7E0B"/>
    <w:rsid w:val="00B303C3"/>
    <w:rsid w:val="00BA002B"/>
    <w:rsid w:val="00BF136F"/>
    <w:rsid w:val="00BF2E20"/>
    <w:rsid w:val="00C95E14"/>
    <w:rsid w:val="00CB7A81"/>
    <w:rsid w:val="00E619A9"/>
    <w:rsid w:val="00EE694B"/>
    <w:rsid w:val="00F2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DD"/>
  </w:style>
  <w:style w:type="paragraph" w:styleId="1">
    <w:name w:val="heading 1"/>
    <w:basedOn w:val="a"/>
    <w:next w:val="a"/>
    <w:link w:val="10"/>
    <w:uiPriority w:val="99"/>
    <w:qFormat/>
    <w:rsid w:val="00F223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23DD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F223D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22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F223DD"/>
    <w:rPr>
      <w:color w:val="106BBE"/>
    </w:rPr>
  </w:style>
  <w:style w:type="paragraph" w:styleId="a6">
    <w:name w:val="Body Text"/>
    <w:basedOn w:val="a"/>
    <w:link w:val="a7"/>
    <w:uiPriority w:val="99"/>
    <w:rsid w:val="00BF2E20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F2E20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F2E20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F2E20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9A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0D88"/>
  </w:style>
  <w:style w:type="paragraph" w:styleId="ac">
    <w:name w:val="footer"/>
    <w:basedOn w:val="a"/>
    <w:link w:val="ad"/>
    <w:uiPriority w:val="99"/>
    <w:unhideWhenUsed/>
    <w:rsid w:val="00A6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0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DD"/>
  </w:style>
  <w:style w:type="paragraph" w:styleId="1">
    <w:name w:val="heading 1"/>
    <w:basedOn w:val="a"/>
    <w:next w:val="a"/>
    <w:link w:val="10"/>
    <w:uiPriority w:val="99"/>
    <w:qFormat/>
    <w:rsid w:val="00F223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23DD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F223D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22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F223DD"/>
    <w:rPr>
      <w:color w:val="106BBE"/>
    </w:rPr>
  </w:style>
  <w:style w:type="paragraph" w:styleId="a6">
    <w:name w:val="Body Text"/>
    <w:basedOn w:val="a"/>
    <w:link w:val="a7"/>
    <w:uiPriority w:val="99"/>
    <w:rsid w:val="00BF2E20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F2E20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F2E20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F2E20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9A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0D88"/>
  </w:style>
  <w:style w:type="paragraph" w:styleId="ac">
    <w:name w:val="footer"/>
    <w:basedOn w:val="a"/>
    <w:link w:val="ad"/>
    <w:uiPriority w:val="99"/>
    <w:unhideWhenUsed/>
    <w:rsid w:val="00A6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9213" TargetMode="External"/><Relationship Id="rId13" Type="http://schemas.openxmlformats.org/officeDocument/2006/relationships/header" Target="header1.xml"/><Relationship Id="rId18" Type="http://schemas.openxmlformats.org/officeDocument/2006/relationships/hyperlink" Target="file:///C:\Users\Kishyn\Desktop\&#1059;&#1095;&#1088;&#1077;&#1076;&#1080;&#1090;&#1077;&#1083;&#1080;\&#1074;&#1084;&#1077;&#1089;&#1090;&#1086;66-&#1087;&#1072;&#1054;&#1073;%20&#1091;&#1090;&#1074;&#1077;&#1088;&#1078;&#1076;&#1077;&#1085;&#1080;&#1080;%20&#1055;&#1086;&#1088;&#1103;&#1076;&#1082;&#1072;%20&#1087;&#1088;&#1077;&#1076;&#1074;&#1072;&#1088;&#1080;&#1090;&#1077;&#1083;&#1100;&#1085;&#1086;&#1075;&#1086;%20&#1089;&#1086;&#1075;&#1083;&#1072;&#1089;&#1086;&#1074;&#1072;&#1085;&#1080;&#1103;%20&#1084;&#1091;&#1085;&#1080;&#1094;&#1080;&#1087;&#1072;&#1083;&#1100;&#1085;&#1099;&#1084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Kishyn\Desktop\&#1059;&#1095;&#1088;&#1077;&#1076;&#1080;&#1090;&#1077;&#1083;&#1080;\&#1074;&#1084;&#1077;&#1089;&#1090;&#1086;66-&#1087;&#1072;&#1054;&#1073;%20&#1091;&#1090;&#1074;&#1077;&#1088;&#1078;&#1076;&#1077;&#1085;&#1080;&#1080;%20&#1055;&#1086;&#1088;&#1103;&#1076;&#1082;&#1072;%20&#1087;&#1088;&#1077;&#1076;&#1074;&#1072;&#1088;&#1080;&#1090;&#1077;&#1083;&#1100;&#1085;&#1086;&#1075;&#1086;%20&#1089;&#1086;&#1075;&#1083;&#1072;&#1089;&#1086;&#1074;&#1072;&#1085;&#1080;&#1103;%20&#1084;&#1091;&#1085;&#1080;&#1094;&#1080;&#1087;&#1072;&#1083;&#1100;&#1085;&#1099;&#1084;.docx" TargetMode="External"/><Relationship Id="rId17" Type="http://schemas.openxmlformats.org/officeDocument/2006/relationships/hyperlink" Target="file:///C:\Users\Kishyn\Desktop\&#1059;&#1095;&#1088;&#1077;&#1076;&#1080;&#1090;&#1077;&#1083;&#1080;\&#1074;&#1084;&#1077;&#1089;&#1090;&#1086;66-&#1087;&#1072;&#1054;&#1073;%20&#1091;&#1090;&#1074;&#1077;&#1088;&#1078;&#1076;&#1077;&#1085;&#1080;&#1080;%20&#1055;&#1086;&#1088;&#1103;&#1076;&#1082;&#1072;%20&#1087;&#1088;&#1077;&#1076;&#1074;&#1072;&#1088;&#1080;&#1090;&#1077;&#1083;&#1100;&#1085;&#1086;&#1075;&#1086;%20&#1089;&#1086;&#1075;&#1083;&#1072;&#1089;&#1086;&#1074;&#1072;&#1085;&#1080;&#1103;%20&#1084;&#1091;&#1085;&#1080;&#1094;&#1080;&#1087;&#1072;&#1083;&#1100;&#1085;&#1099;&#1084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26834445.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26834445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6834445.1000" TargetMode="External"/><Relationship Id="rId10" Type="http://schemas.openxmlformats.org/officeDocument/2006/relationships/hyperlink" Target="garantF1://10005879.2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5879.2404" TargetMode="External"/><Relationship Id="rId14" Type="http://schemas.openxmlformats.org/officeDocument/2006/relationships/hyperlink" Target="garantF1://10005879.9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Максимец Екатерина Владимировна</cp:lastModifiedBy>
  <cp:revision>12</cp:revision>
  <cp:lastPrinted>2019-02-28T03:40:00Z</cp:lastPrinted>
  <dcterms:created xsi:type="dcterms:W3CDTF">2018-05-21T23:52:00Z</dcterms:created>
  <dcterms:modified xsi:type="dcterms:W3CDTF">2019-03-18T06:54:00Z</dcterms:modified>
</cp:coreProperties>
</file>