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МАГАДАНСКАЯ ОБЛАСТЬ</w:t>
      </w:r>
    </w:p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ДЕПАРТАМЕНТ ЦЕН И ТАРИФОВ МАГАДАНСКОЙ ОБЛАСТИ</w:t>
      </w:r>
    </w:p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ПРИКАЗ</w:t>
      </w:r>
    </w:p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от 31 июля 2015 г. N 2-ПР/37</w:t>
      </w:r>
    </w:p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ОБ УТВЕРЖДЕНИИ ПРЕДЕЛЬНЫХ РАЗМЕРОВ РОЗНИЧНЫХ ТОРГОВЫХ</w:t>
      </w:r>
    </w:p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НАДБАВОК НА ОТДЕЛЬНЫЕ СОЦИАЛЬНО ЗНАЧИМЫЕ ТОВАРЫ </w:t>
      </w:r>
      <w:proofErr w:type="gramStart"/>
      <w:r w:rsidRPr="001D6A51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</w:p>
    <w:p w:rsidR="001D6A51" w:rsidRPr="001D6A51" w:rsidRDefault="001D6A51" w:rsidP="001D6A5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ПОТРЕБЛЕНИЯ, РЕАЛИЗУЕМЫЕ НА ТЕРРИТОРИИ МАГАДАНСКОЙ ОБЛАСТИ</w:t>
      </w:r>
    </w:p>
    <w:p w:rsidR="001D6A51" w:rsidRPr="001D6A51" w:rsidRDefault="001D6A51" w:rsidP="001D6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В целях упорядочения приказов по государственному регулированию торговых надбавок на социально значимые товары народного потребления, реализуемые на территории Магаданской области, в соответствии с </w:t>
      </w:r>
      <w:hyperlink r:id="rId5" w:history="1">
        <w:r w:rsidRPr="001D6A5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D6A5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25 сентября 2014 г. N 787-пп "О регулировании цен (тарифов) в Магаданской области", департамент цен и тарифов Магаданской области приказывает: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1. Утвердить предельные размеры розничных торговых надбавок на отдельные социально значимые товары народного потребления, реализуемые на территории Магаданской области, согласно </w:t>
      </w:r>
      <w:hyperlink w:anchor="P39" w:history="1">
        <w:r w:rsidRPr="001D6A51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1D6A5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2. Установить, что предельные размеры розничных торговых надбавок применяются в следующем порядке: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- при закупке товара у поставщика (производителя), находящегося на территории Магаданской области - к закупочным ценам и включают в себя все необходимые затраты предприятий розничной торговли, в том числе транспортные расходы, подлежащие уплате налоги и необходимую прибыль;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- при закупке товара у иногороднего поставщика (производителя), </w:t>
      </w:r>
      <w:r w:rsidRPr="001D6A51">
        <w:rPr>
          <w:rFonts w:ascii="Times New Roman" w:hAnsi="Times New Roman" w:cs="Times New Roman"/>
          <w:sz w:val="28"/>
          <w:szCs w:val="28"/>
        </w:rPr>
        <w:lastRenderedPageBreak/>
        <w:t>находящегося за пределами Магаданской области - к закупочной цене товара и включают в себя все необходимые затраты предприятий розничной торговли, в том числе транспортные расходы по территории Магаданской области, подлежащие уплате налоги и необходимую прибыль. Транспортные расходы по доставке товара до Магаданской области суммируются с ценой товара с учетом розничной торговой надбавки по фактическим расходам, подтвержденным соответствующими документами;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- при реализации производителем - к себестоимости товара.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2.1. Установить, что предельные размеры розничных торговых надбавок на хлеб пшеничный (белый), из смеси ржаной и пшеничной муки, массой не менее 300 граммов применяются к отпускной цене хлеба, которая включает в себя затраты на производство и поставку (транспортные расходы) хлеба до пункта реализации. </w:t>
      </w:r>
      <w:proofErr w:type="gramStart"/>
      <w:r w:rsidRPr="001D6A51">
        <w:rPr>
          <w:rFonts w:ascii="Times New Roman" w:hAnsi="Times New Roman" w:cs="Times New Roman"/>
          <w:sz w:val="28"/>
          <w:szCs w:val="28"/>
        </w:rPr>
        <w:t>Размеры розничных торговых надбавок на хлеб пшеничный (белый), из смеси ржаной и пшеничной муки, массой не менее 300 граммов включают в себя все необходимые затраты предприятий розничной торговли (предпринимателей), в том числе подлежащие уплате налоги и необходимую прибыль.</w:t>
      </w:r>
      <w:proofErr w:type="gramEnd"/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3. Предельные размеры розничных торговых надбавок не включают в себя налог на добавленную стоимость. Порядок исчисления налога на добавленную стоимость определяется в соответствии с налоговым законодательством Российской Федерации.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4. Округление розничных цен, исчисленных с применением утвержденных предельных размеров розничных торговых надбавок, производится до целой копейки, при этом до 0,5 коп</w:t>
      </w:r>
      <w:proofErr w:type="gramStart"/>
      <w:r w:rsidRPr="001D6A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A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6A51">
        <w:rPr>
          <w:rFonts w:ascii="Times New Roman" w:hAnsi="Times New Roman" w:cs="Times New Roman"/>
          <w:sz w:val="28"/>
          <w:szCs w:val="28"/>
        </w:rPr>
        <w:t>тбрасывается, 0,5 коп. и выше округляется до целой копейки.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5. Действие настоящего Приказа распространяется на всех юридических лиц и индивидуальных предпринимателей, осуществляющих розничную торговлю отдельными социально значимыми товарами народного потребления на территории Магаданской области.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6. С момента вступления в силу настоящего приказа признать </w:t>
      </w:r>
      <w:r w:rsidRPr="001D6A51">
        <w:rPr>
          <w:rFonts w:ascii="Times New Roman" w:hAnsi="Times New Roman" w:cs="Times New Roman"/>
          <w:sz w:val="28"/>
          <w:szCs w:val="28"/>
        </w:rPr>
        <w:lastRenderedPageBreak/>
        <w:t>утратившими силу: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6.1. </w:t>
      </w:r>
      <w:hyperlink r:id="rId6" w:history="1">
        <w:r w:rsidRPr="001D6A5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D6A51">
        <w:rPr>
          <w:rFonts w:ascii="Times New Roman" w:hAnsi="Times New Roman" w:cs="Times New Roman"/>
          <w:sz w:val="28"/>
          <w:szCs w:val="28"/>
        </w:rPr>
        <w:t xml:space="preserve"> департамента цен и тарифов Администрации Магаданской области от 4 мая 2011 г. N 2-ПР/21 "Об утверждении предельных размеров розничных торговых надбавок на отдельные социально значимые товары народного потребления, реализуемые на территории Магаданской области";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6.2. </w:t>
      </w:r>
      <w:hyperlink r:id="rId7" w:history="1">
        <w:r w:rsidRPr="001D6A5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D6A51">
        <w:rPr>
          <w:rFonts w:ascii="Times New Roman" w:hAnsi="Times New Roman" w:cs="Times New Roman"/>
          <w:sz w:val="28"/>
          <w:szCs w:val="28"/>
        </w:rPr>
        <w:t xml:space="preserve"> департамента цен и тарифов Магаданской области от 24 февраля 2015 г. N 2-ПР/10 "Об утверждении предельных размеров розничных торговых надбавок на мясо, включенное в перечень отдельных социально значимых товаров народного потребления, реализуемых на территории Магаданской области";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8" w:history="1">
        <w:r w:rsidRPr="001D6A5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D6A51">
        <w:rPr>
          <w:rFonts w:ascii="Times New Roman" w:hAnsi="Times New Roman" w:cs="Times New Roman"/>
          <w:sz w:val="28"/>
          <w:szCs w:val="28"/>
        </w:rPr>
        <w:t xml:space="preserve"> департамента цен и тарифов Магаданской области от 24 февраля 2015 г. N 2-ПР/12 "О внесении изменений в приказ департамента цен и тарифов Администрации Магаданской области от 4 мая 2011 г. N 2-ПР/21";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6.4. </w:t>
      </w:r>
      <w:hyperlink r:id="rId9" w:history="1">
        <w:r w:rsidRPr="001D6A5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D6A51">
        <w:rPr>
          <w:rFonts w:ascii="Times New Roman" w:hAnsi="Times New Roman" w:cs="Times New Roman"/>
          <w:sz w:val="28"/>
          <w:szCs w:val="28"/>
        </w:rPr>
        <w:t xml:space="preserve"> Департамента цен и тарифов Магаданской области от 14 мая 2015 г. N 2-ПР/25 "О внесении изменений в приказ департамента цен и тарифов администрации Магаданской области от 4 мая 2011 г. N 2-ПР/21";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 xml:space="preserve">6.5. </w:t>
      </w:r>
      <w:hyperlink r:id="rId10" w:history="1">
        <w:r w:rsidRPr="001D6A51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D6A51">
        <w:rPr>
          <w:rFonts w:ascii="Times New Roman" w:hAnsi="Times New Roman" w:cs="Times New Roman"/>
          <w:sz w:val="28"/>
          <w:szCs w:val="28"/>
        </w:rPr>
        <w:t xml:space="preserve"> департамента цен и тарифов Магаданской области от 14 мая 2015 г. N 2-ПР/26 "О внесении изменений в приказ департамента цен и тарифов Магаданской области от 24 февраля 2015 г. N 2-ПР/10".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7. Настоящий приказ вступает в силу через 10 дней после его официального опубликования.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A51" w:rsidRPr="001D6A51" w:rsidRDefault="001D6A51" w:rsidP="001D6A51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D6A51" w:rsidRPr="001D6A51" w:rsidRDefault="001D6A51" w:rsidP="001D6A51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И.В.ВАРФОЛОМЕЕВА</w:t>
      </w:r>
    </w:p>
    <w:p w:rsidR="001D6A51" w:rsidRDefault="001D6A51">
      <w:pPr>
        <w:rPr>
          <w:rFonts w:ascii="Times New Roman" w:hAnsi="Times New Roman" w:cs="Times New Roman"/>
          <w:sz w:val="28"/>
          <w:szCs w:val="28"/>
        </w:rPr>
        <w:sectPr w:rsidR="001D6A51" w:rsidSect="001D6A51">
          <w:pgSz w:w="11905" w:h="16838"/>
          <w:pgMar w:top="1134" w:right="851" w:bottom="1134" w:left="1701" w:header="0" w:footer="0" w:gutter="0"/>
          <w:cols w:space="720"/>
        </w:sectPr>
      </w:pPr>
      <w:bookmarkStart w:id="0" w:name="P39"/>
      <w:bookmarkEnd w:id="0"/>
    </w:p>
    <w:p w:rsidR="001D6A51" w:rsidRPr="001D6A51" w:rsidRDefault="001D6A51" w:rsidP="001D6A5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6A51" w:rsidRPr="001D6A51" w:rsidRDefault="001D6A51" w:rsidP="001D6A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к приказу</w:t>
      </w:r>
    </w:p>
    <w:p w:rsidR="001D6A51" w:rsidRPr="001D6A51" w:rsidRDefault="001D6A51" w:rsidP="001D6A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департамента цен и тарифов</w:t>
      </w:r>
    </w:p>
    <w:p w:rsidR="001D6A51" w:rsidRPr="001D6A51" w:rsidRDefault="001D6A51" w:rsidP="001D6A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1D6A51" w:rsidRPr="001D6A51" w:rsidRDefault="001D6A51" w:rsidP="001D6A5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6A51">
        <w:rPr>
          <w:rFonts w:ascii="Times New Roman" w:hAnsi="Times New Roman" w:cs="Times New Roman"/>
          <w:sz w:val="28"/>
          <w:szCs w:val="28"/>
        </w:rPr>
        <w:t>от 31 июля 2015 г. N 2-ПР/37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337"/>
        <w:gridCol w:w="1080"/>
        <w:gridCol w:w="1080"/>
        <w:gridCol w:w="960"/>
        <w:gridCol w:w="960"/>
        <w:gridCol w:w="960"/>
        <w:gridCol w:w="840"/>
        <w:gridCol w:w="840"/>
        <w:gridCol w:w="960"/>
        <w:gridCol w:w="1440"/>
        <w:gridCol w:w="1200"/>
        <w:gridCol w:w="1080"/>
        <w:gridCol w:w="960"/>
        <w:gridCol w:w="1080"/>
      </w:tblGrid>
      <w:tr w:rsidR="001D6A51" w:rsidRPr="001D6A51" w:rsidTr="001D6A51">
        <w:tc>
          <w:tcPr>
            <w:tcW w:w="568" w:type="dxa"/>
            <w:vMerge w:val="restart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7" w:type="dxa"/>
            <w:vMerge w:val="restart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населенного пункта</w:t>
            </w:r>
          </w:p>
        </w:tc>
        <w:tc>
          <w:tcPr>
            <w:tcW w:w="13440" w:type="dxa"/>
            <w:gridSpan w:val="13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Предельные розничные торговые надбавки по группам социально значимых товаров народного потребления, %</w:t>
            </w:r>
          </w:p>
        </w:tc>
      </w:tr>
      <w:tr w:rsidR="001D6A51" w:rsidRPr="001D6A51" w:rsidTr="001D6A51">
        <w:tc>
          <w:tcPr>
            <w:tcW w:w="568" w:type="dxa"/>
            <w:vMerge/>
          </w:tcPr>
          <w:p w:rsidR="001D6A51" w:rsidRPr="001D6A51" w:rsidRDefault="001D6A51" w:rsidP="001D6A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1D6A51" w:rsidRPr="001D6A51" w:rsidRDefault="001D6A51" w:rsidP="001D6A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Хлеб пшеничный (белый), хлеб из смеси ржаной и пшеничной муки, массой не менее 300 граммов</w:t>
            </w:r>
          </w:p>
        </w:tc>
        <w:tc>
          <w:tcPr>
            <w:tcW w:w="108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Молоко и кефир не более 3,2% жирности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Сыр отечественного производства 45% жирности, весовой</w:t>
            </w:r>
          </w:p>
        </w:tc>
        <w:tc>
          <w:tcPr>
            <w:tcW w:w="84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Масло сливочное 72,5% жирности, весовое</w:t>
            </w:r>
          </w:p>
        </w:tc>
        <w:tc>
          <w:tcPr>
            <w:tcW w:w="84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Сахар песок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Мука высшего сорта весовая и фасованная</w:t>
            </w:r>
          </w:p>
        </w:tc>
        <w:tc>
          <w:tcPr>
            <w:tcW w:w="144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детского питания (включая пищевые концентраты) за исключением соков (напитков), расфасованных в </w:t>
            </w: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тетрапакеты</w:t>
            </w:r>
            <w:proofErr w:type="spell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емкости, имеющие надписи "рекомендовано для детского питания", "может применяться для питания детей с 3-летнего возраста" и т.п.</w:t>
            </w:r>
          </w:p>
        </w:tc>
        <w:tc>
          <w:tcPr>
            <w:tcW w:w="120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Говядина взрослая мороженая (кроме бескостного мяса)</w:t>
            </w:r>
          </w:p>
        </w:tc>
        <w:tc>
          <w:tcPr>
            <w:tcW w:w="108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Свинина мороженая (кроме бескостного мяса, свиной шеи на кости, корейки на кости)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Куры мороженные не разделенные на части, включая бройлеры (потрошеные и полупотрошеные)</w:t>
            </w:r>
          </w:p>
        </w:tc>
        <w:tc>
          <w:tcPr>
            <w:tcW w:w="108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Рыба мороженая (кроме стейков, филе, фарша): горбуша, камбала дальневосточная, кета, мальма (голец дальневосточный), минтай, мойва, навага, сельдь тихоокеанская, треска</w:t>
            </w:r>
            <w:proofErr w:type="gramEnd"/>
          </w:p>
        </w:tc>
      </w:tr>
      <w:tr w:rsidR="001D6A51" w:rsidRPr="001D6A51" w:rsidTr="001D6A51">
        <w:tc>
          <w:tcPr>
            <w:tcW w:w="568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7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6A51" w:rsidRPr="001D6A51" w:rsidTr="001D6A51">
        <w:tc>
          <w:tcPr>
            <w:tcW w:w="568" w:type="dxa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77" w:type="dxa"/>
            <w:gridSpan w:val="14"/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п. Ола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. Гадля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. Клепка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п. Армань, в </w:t>
            </w: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gram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Тауйск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с. Балаганное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с. Талон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с. Тахтоямск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Ямск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Омсукчанский</w:t>
            </w:r>
            <w:proofErr w:type="spell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Северо-Эвенский городской </w:t>
            </w:r>
            <w:r w:rsidRPr="001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Среднеканский</w:t>
            </w:r>
            <w:proofErr w:type="spell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Тенькинский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6A51" w:rsidRPr="001D6A51" w:rsidTr="001D6A5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7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6A51" w:rsidRPr="001D6A51" w:rsidTr="00FF06D9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1D6A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A51" w:rsidRPr="001D6A51" w:rsidRDefault="001D6A51" w:rsidP="001D6A5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A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D73F8" w:rsidRPr="001D6A51" w:rsidRDefault="003D73F8" w:rsidP="00FF06D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D73F8" w:rsidRPr="001D6A51" w:rsidSect="001D6A51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51"/>
    <w:rsid w:val="001D6A51"/>
    <w:rsid w:val="003D73F8"/>
    <w:rsid w:val="005C56A3"/>
    <w:rsid w:val="00705A7E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FE4EF9DC63FD6657EADC366C95E58B2C82FEA46295C86C958918FB94126BA8F6C4E6A416308F4965562F2B9A6239l6m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29FE4EF9DC63FD6657EADC366C95E58B2C82FEA46998C260958918FB94126BA8F6C4E6A416308F4965562F2B9A6239l6mE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9FE4EF9DC63FD6657EADC366C95E58B2C82FEA46595C468958918FB94126BA8F6C4E6A416308F4965562F2B9A6239l6m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29FE4EF9DC63FD6657EADC366C95E58B2C82FEA66795C16A958918FB94126BA8F6C4F4A44E3C8E4D7B512E3ECC337C32EFBA422332A9F185B3A3lCm8A" TargetMode="External"/><Relationship Id="rId10" Type="http://schemas.openxmlformats.org/officeDocument/2006/relationships/hyperlink" Target="consultantplus://offline/ref=F229FE4EF9DC63FD6657EADC366C95E58B2C82FEA4649BC06F958918FB94126BA8F6C4E6A416308F4965562F2B9A6239l6m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9FE4EF9DC63FD6657EADC366C95E58B2C82FEA4649BC06C958918FB94126BA8F6C4E6A416308F4965562F2B9A6239l6m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Оксана Валерьевна</dc:creator>
  <cp:lastModifiedBy>Олейник Оксана Валерьевна</cp:lastModifiedBy>
  <cp:revision>1</cp:revision>
  <dcterms:created xsi:type="dcterms:W3CDTF">2019-05-14T00:38:00Z</dcterms:created>
  <dcterms:modified xsi:type="dcterms:W3CDTF">2019-05-14T01:02:00Z</dcterms:modified>
</cp:coreProperties>
</file>